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Dúvida geral: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- como organizar os privilégios de admin de forma hierarquizada, para atender o país todo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 no MVP, podemos manter somente na JF da 3ª Região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1) Tela de login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 só cabe e-mail e senha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senha provisória com validade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2) Tela de recadastro de senha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3) Tela de certificação/validação de intérpretes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** entidade certificadora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 lista dos intérpretes ainda não certificados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 lista dos intérpretes com pendência de verificação AJG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4) Tela CRUD de audiências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** usuário comum de vara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 unidade judiciária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- data e horário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- tipo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- intérpretes e idiomas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 dispara automaticamente para intérpretes?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 possibilidade de já indicar intérpretes específicos?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 em caso de alteração, disparar novamente o feed? quando?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5) Tela CRUD de unidades judiciárias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** admin do sistema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- acesso apenas aos admins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6) Tela CRUD de entidades certificadoras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** admin do sistema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- acesso apenas aos admins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7) Tela CRUD de usuários (internos e externos, incluindo intérpretes) 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** admin do sistema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- possibilitar reset de senhas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- para usuários comuns e entidades certificadoras, nesta tela aparecem somente os intérpretes (para consulta), sem funcionalidades de CRUD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Obs: O usuário logado deve poder acessar os seus próprios dados para verificação.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